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7711" w14:textId="77777777" w:rsidR="00BE612A" w:rsidRDefault="00EE46E4">
      <w:pPr>
        <w:spacing w:after="0" w:line="240" w:lineRule="auto"/>
        <w:ind w:right="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EAL POLICY</w:t>
      </w:r>
    </w:p>
    <w:p w14:paraId="33FC709D" w14:textId="77777777" w:rsidR="00BE612A" w:rsidRDefault="00EE46E4">
      <w:pPr>
        <w:spacing w:after="0" w:line="240" w:lineRule="auto"/>
        <w:ind w:right="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(English as an Additional Language)</w:t>
      </w:r>
    </w:p>
    <w:p w14:paraId="7678FBAB" w14:textId="77777777" w:rsidR="00BE612A" w:rsidRDefault="00BE612A">
      <w:pPr>
        <w:spacing w:after="0" w:line="240" w:lineRule="auto"/>
        <w:ind w:right="119"/>
        <w:jc w:val="center"/>
        <w:rPr>
          <w:b/>
          <w:sz w:val="28"/>
          <w:szCs w:val="28"/>
        </w:rPr>
      </w:pPr>
    </w:p>
    <w:p w14:paraId="1A5BCEA7" w14:textId="77777777" w:rsidR="00BE612A" w:rsidRDefault="00EE46E4">
      <w:pPr>
        <w:pStyle w:val="Heading1"/>
        <w:ind w:left="0" w:right="117" w:firstLine="0"/>
      </w:pPr>
      <w:r>
        <w:t>September 2023</w:t>
      </w:r>
    </w:p>
    <w:p w14:paraId="4F139623" w14:textId="77777777" w:rsidR="00BE612A" w:rsidRDefault="00BE612A">
      <w:pPr>
        <w:rPr>
          <w:sz w:val="24"/>
          <w:szCs w:val="24"/>
        </w:rPr>
      </w:pPr>
    </w:p>
    <w:tbl>
      <w:tblPr>
        <w:tblStyle w:val="a"/>
        <w:tblW w:w="4678" w:type="dxa"/>
        <w:tblLayout w:type="fixed"/>
        <w:tblLook w:val="0400" w:firstRow="0" w:lastRow="0" w:firstColumn="0" w:lastColumn="0" w:noHBand="0" w:noVBand="1"/>
      </w:tblPr>
      <w:tblGrid>
        <w:gridCol w:w="2869"/>
        <w:gridCol w:w="1809"/>
      </w:tblGrid>
      <w:tr w:rsidR="00BE612A" w14:paraId="3C84048B" w14:textId="77777777">
        <w:trPr>
          <w:trHeight w:val="298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</w:tcPr>
          <w:p w14:paraId="3D73A2C5" w14:textId="77777777" w:rsidR="00BE612A" w:rsidRDefault="00EE46E4">
            <w:pPr>
              <w:tabs>
                <w:tab w:val="center" w:pos="21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approved:  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</w:tcPr>
          <w:p w14:paraId="1838222E" w14:textId="77777777" w:rsidR="00BE612A" w:rsidRDefault="00EE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2023</w:t>
            </w:r>
          </w:p>
        </w:tc>
      </w:tr>
      <w:tr w:rsidR="00BE612A" w14:paraId="1F8F3838" w14:textId="77777777">
        <w:trPr>
          <w:trHeight w:val="299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</w:tcPr>
          <w:p w14:paraId="2FAF2D6D" w14:textId="77777777" w:rsidR="00BE612A" w:rsidRDefault="00EE46E4">
            <w:pPr>
              <w:tabs>
                <w:tab w:val="center" w:pos="21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Approved by:   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</w:tcPr>
          <w:p w14:paraId="6E6E7BC5" w14:textId="77777777" w:rsidR="00BE612A" w:rsidRDefault="00EE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Head of School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612A" w14:paraId="158EFEAB" w14:textId="77777777">
        <w:trPr>
          <w:trHeight w:val="298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</w:tcPr>
          <w:p w14:paraId="546C755D" w14:textId="77777777" w:rsidR="00BE612A" w:rsidRDefault="00EE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Frequency of review: 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</w:tcPr>
          <w:p w14:paraId="5FDF5364" w14:textId="77777777" w:rsidR="00BE612A" w:rsidRDefault="00EE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Annually</w:t>
            </w:r>
          </w:p>
        </w:tc>
      </w:tr>
      <w:tr w:rsidR="00BE612A" w14:paraId="6829097E" w14:textId="77777777">
        <w:trPr>
          <w:trHeight w:val="288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</w:tcPr>
          <w:p w14:paraId="29CCA9B5" w14:textId="77777777" w:rsidR="00BE612A" w:rsidRDefault="00EE46E4">
            <w:pPr>
              <w:tabs>
                <w:tab w:val="center" w:pos="21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review due: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</w:tcPr>
          <w:p w14:paraId="2B975873" w14:textId="77777777" w:rsidR="00BE612A" w:rsidRDefault="00EE4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2024</w:t>
            </w:r>
          </w:p>
        </w:tc>
      </w:tr>
    </w:tbl>
    <w:p w14:paraId="095E1F30" w14:textId="77777777" w:rsidR="00BE612A" w:rsidRDefault="00EE46E4">
      <w:pPr>
        <w:spacing w:after="17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ADF23F0" w14:textId="77777777" w:rsidR="00BE612A" w:rsidRDefault="00EE46E4">
      <w:pPr>
        <w:pStyle w:val="Heading2"/>
        <w:ind w:left="-5" w:firstLine="0"/>
      </w:pPr>
      <w:r>
        <w:t xml:space="preserve">Policy Statement  </w:t>
      </w:r>
    </w:p>
    <w:p w14:paraId="5D72B488" w14:textId="77777777" w:rsidR="00BE612A" w:rsidRDefault="00BE612A">
      <w:pPr>
        <w:spacing w:after="0"/>
        <w:ind w:left="-1440" w:right="10466"/>
        <w:rPr>
          <w:sz w:val="24"/>
          <w:szCs w:val="24"/>
        </w:rPr>
      </w:pPr>
    </w:p>
    <w:p w14:paraId="1484B979" w14:textId="77777777" w:rsidR="00BE612A" w:rsidRDefault="00EE46E4">
      <w:pPr>
        <w:spacing w:after="18" w:line="241" w:lineRule="auto"/>
        <w:ind w:left="29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The government </w:t>
      </w:r>
      <w:r>
        <w:rPr>
          <w:b/>
          <w:color w:val="222222"/>
          <w:sz w:val="24"/>
          <w:szCs w:val="24"/>
        </w:rPr>
        <w:t>definition</w:t>
      </w:r>
      <w:r>
        <w:rPr>
          <w:color w:val="222222"/>
          <w:sz w:val="24"/>
          <w:szCs w:val="24"/>
        </w:rPr>
        <w:t xml:space="preserve"> of a bilingual learner is that it refers to 'all pupils who use or have access to more than one language at home or at school – it does not necessarily imply full fluency in both or all languages' (DfES 2003). Diversity of </w:t>
      </w:r>
      <w:r>
        <w:rPr>
          <w:b/>
          <w:color w:val="222222"/>
          <w:sz w:val="24"/>
          <w:szCs w:val="24"/>
        </w:rPr>
        <w:t>EAL</w:t>
      </w:r>
      <w:r>
        <w:rPr>
          <w:color w:val="222222"/>
          <w:sz w:val="24"/>
          <w:szCs w:val="24"/>
        </w:rPr>
        <w:t xml:space="preserve"> learners.</w:t>
      </w:r>
      <w:r>
        <w:rPr>
          <w:b/>
          <w:sz w:val="24"/>
          <w:szCs w:val="24"/>
        </w:rPr>
        <w:t xml:space="preserve"> </w:t>
      </w:r>
    </w:p>
    <w:p w14:paraId="42CC184B" w14:textId="77777777" w:rsidR="00BE612A" w:rsidRDefault="00EE46E4">
      <w:pPr>
        <w:spacing w:after="0"/>
        <w:ind w:left="29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ACCDE13" w14:textId="77777777" w:rsidR="00BE612A" w:rsidRDefault="00EE46E4">
      <w:pPr>
        <w:spacing w:after="0"/>
        <w:ind w:left="29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Aims</w:t>
      </w:r>
      <w:r>
        <w:rPr>
          <w:b/>
          <w:sz w:val="24"/>
          <w:szCs w:val="24"/>
        </w:rPr>
        <w:t xml:space="preserve"> </w:t>
      </w:r>
    </w:p>
    <w:p w14:paraId="107036CD" w14:textId="77777777" w:rsidR="00BE612A" w:rsidRDefault="00EE46E4">
      <w:pPr>
        <w:spacing w:after="0"/>
        <w:ind w:left="29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BF31D48" w14:textId="77777777" w:rsidR="00BE612A" w:rsidRDefault="00EE46E4">
      <w:pPr>
        <w:spacing w:after="0"/>
        <w:ind w:left="29"/>
        <w:rPr>
          <w:sz w:val="24"/>
          <w:szCs w:val="24"/>
        </w:rPr>
      </w:pPr>
      <w:r>
        <w:rPr>
          <w:sz w:val="24"/>
          <w:szCs w:val="24"/>
        </w:rPr>
        <w:t xml:space="preserve">INWS aims to ensure that all EAL pupils are able: </w:t>
      </w:r>
    </w:p>
    <w:p w14:paraId="78B71F94" w14:textId="77777777" w:rsidR="00BE612A" w:rsidRDefault="00EE46E4">
      <w:pPr>
        <w:spacing w:after="0"/>
        <w:ind w:left="2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4437B76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use English confidently and competently. </w:t>
      </w:r>
    </w:p>
    <w:p w14:paraId="4BE419BC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use English as a means of learning across the curriculum </w:t>
      </w:r>
    </w:p>
    <w:p w14:paraId="08BC2029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ensure that EAL pupils are fully included into the life and work of INWS. </w:t>
      </w:r>
    </w:p>
    <w:p w14:paraId="342A76B9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ensure that pupils whose first language is not English reach their full potential. </w:t>
      </w:r>
    </w:p>
    <w:p w14:paraId="5C196907" w14:textId="77777777" w:rsidR="00BE612A" w:rsidRDefault="00EE46E4">
      <w:pPr>
        <w:spacing w:after="0"/>
        <w:ind w:left="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5DF18DE" w14:textId="77777777" w:rsidR="00BE612A" w:rsidRDefault="00EE46E4">
      <w:pPr>
        <w:spacing w:after="0"/>
        <w:ind w:left="2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Objectives</w:t>
      </w:r>
      <w:r>
        <w:rPr>
          <w:b/>
          <w:sz w:val="24"/>
          <w:szCs w:val="24"/>
        </w:rPr>
        <w:t xml:space="preserve"> </w:t>
      </w:r>
    </w:p>
    <w:p w14:paraId="6AC9E8FE" w14:textId="77777777" w:rsidR="00BE612A" w:rsidRDefault="00EE46E4">
      <w:pPr>
        <w:spacing w:after="30"/>
        <w:ind w:left="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FC4B23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identify and assess individual pupils’ needs as soon as possible. </w:t>
      </w:r>
    </w:p>
    <w:p w14:paraId="0FDB6917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acknowledge the importance of pupils’ home language and to build upon their existing skills and knowledge. </w:t>
      </w:r>
    </w:p>
    <w:p w14:paraId="6F5B55FE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make use of their knowledge of other languages. </w:t>
      </w:r>
    </w:p>
    <w:p w14:paraId="1DFEEBC9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ensure parent/carers and pupils are involved in the process. </w:t>
      </w:r>
    </w:p>
    <w:p w14:paraId="57A830E5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promote a whole school responsibility towards EAL pupils. </w:t>
      </w:r>
    </w:p>
    <w:p w14:paraId="6A68A7D7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ensure that appropriate and realistic levels of attainment are decided upon within each curriculum area. </w:t>
      </w:r>
    </w:p>
    <w:p w14:paraId="4BFBDD77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make appropriate use of external agencies.  </w:t>
      </w:r>
    </w:p>
    <w:p w14:paraId="186BE976" w14:textId="77777777" w:rsidR="00BE612A" w:rsidRDefault="00BE612A">
      <w:pPr>
        <w:spacing w:after="0"/>
        <w:jc w:val="both"/>
        <w:rPr>
          <w:sz w:val="24"/>
          <w:szCs w:val="24"/>
        </w:rPr>
        <w:sectPr w:rsidR="00BE612A">
          <w:headerReference w:type="default" r:id="rId8"/>
          <w:pgSz w:w="11906" w:h="16838"/>
          <w:pgMar w:top="1985" w:right="1440" w:bottom="1985" w:left="851" w:header="720" w:footer="720" w:gutter="0"/>
          <w:pgNumType w:start="1"/>
          <w:cols w:space="720"/>
        </w:sectPr>
      </w:pPr>
    </w:p>
    <w:p w14:paraId="7EE8156D" w14:textId="77777777" w:rsidR="00BE612A" w:rsidRDefault="00EE46E4">
      <w:pPr>
        <w:spacing w:after="0"/>
        <w:ind w:left="29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Management and Administration</w:t>
      </w:r>
      <w:r>
        <w:rPr>
          <w:b/>
          <w:sz w:val="24"/>
          <w:szCs w:val="24"/>
        </w:rPr>
        <w:t xml:space="preserve"> </w:t>
      </w:r>
    </w:p>
    <w:p w14:paraId="288AF454" w14:textId="77777777" w:rsidR="00BE612A" w:rsidRDefault="00EE46E4">
      <w:pPr>
        <w:spacing w:after="0"/>
        <w:ind w:left="2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CC0C8F" w14:textId="77777777" w:rsidR="00BE612A" w:rsidRDefault="00EE46E4">
      <w:pPr>
        <w:numPr>
          <w:ilvl w:val="0"/>
          <w:numId w:val="3"/>
        </w:numPr>
        <w:spacing w:after="0"/>
        <w:ind w:hanging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Whole School Approach</w:t>
      </w:r>
      <w:r>
        <w:rPr>
          <w:sz w:val="24"/>
          <w:szCs w:val="24"/>
        </w:rPr>
        <w:t xml:space="preserve"> </w:t>
      </w:r>
    </w:p>
    <w:p w14:paraId="300AC62E" w14:textId="77777777" w:rsidR="00BE612A" w:rsidRDefault="00EE46E4">
      <w:pPr>
        <w:spacing w:after="0"/>
        <w:ind w:left="2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61B2D8" w14:textId="77777777" w:rsidR="00BE612A" w:rsidRDefault="00EE46E4">
      <w:pPr>
        <w:spacing w:after="0"/>
        <w:ind w:left="7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English as an alternative language is addressed in all faculties by subject teachers. </w:t>
      </w:r>
    </w:p>
    <w:p w14:paraId="4716E408" w14:textId="77777777" w:rsidR="00BE612A" w:rsidRDefault="00EE46E4">
      <w:pPr>
        <w:spacing w:after="0"/>
        <w:ind w:left="7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36DF65" w14:textId="77777777" w:rsidR="00BE612A" w:rsidRDefault="00EE46E4">
      <w:pPr>
        <w:spacing w:after="0"/>
        <w:ind w:left="7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Pupils with little English will receive intensive tuition before they are included in the Mainstream Curriculum. </w:t>
      </w:r>
    </w:p>
    <w:p w14:paraId="58251363" w14:textId="77777777" w:rsidR="00BE612A" w:rsidRDefault="00EE46E4">
      <w:pPr>
        <w:spacing w:after="0"/>
        <w:ind w:left="7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6593CF" w14:textId="77777777" w:rsidR="00BE612A" w:rsidRDefault="00EE46E4">
      <w:pPr>
        <w:spacing w:after="0" w:line="241" w:lineRule="auto"/>
        <w:ind w:left="7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pupils with EAL are included in mainstream classes as quickly as possible.  In-class support will be provided if finances allow. </w:t>
      </w:r>
    </w:p>
    <w:p w14:paraId="50E433AE" w14:textId="77777777" w:rsidR="00BE612A" w:rsidRDefault="00EE46E4">
      <w:pPr>
        <w:spacing w:after="0"/>
        <w:ind w:left="7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9F7EFD" w14:textId="77777777" w:rsidR="00BE612A" w:rsidRDefault="00EE46E4">
      <w:pPr>
        <w:spacing w:after="0"/>
        <w:ind w:left="7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Pupils are encouraged to sit an external examination in their first language to build their confidence to achieve.  </w:t>
      </w:r>
    </w:p>
    <w:p w14:paraId="4AD79583" w14:textId="77777777" w:rsidR="00BE612A" w:rsidRDefault="00EE46E4">
      <w:pPr>
        <w:spacing w:after="0"/>
        <w:ind w:left="2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B8FA81E" w14:textId="77777777" w:rsidR="00BE612A" w:rsidRDefault="00EE46E4">
      <w:pPr>
        <w:numPr>
          <w:ilvl w:val="0"/>
          <w:numId w:val="3"/>
        </w:numPr>
        <w:spacing w:after="0"/>
        <w:ind w:hanging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Documentation</w:t>
      </w:r>
      <w:r>
        <w:rPr>
          <w:sz w:val="24"/>
          <w:szCs w:val="24"/>
        </w:rPr>
        <w:t xml:space="preserve"> </w:t>
      </w:r>
    </w:p>
    <w:p w14:paraId="61316575" w14:textId="77777777" w:rsidR="00BE612A" w:rsidRDefault="00EE46E4">
      <w:pPr>
        <w:spacing w:after="0"/>
        <w:ind w:left="2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0E1C2F" w14:textId="77777777" w:rsidR="00BE612A" w:rsidRDefault="00EE46E4">
      <w:pPr>
        <w:spacing w:after="0" w:line="241" w:lineRule="auto"/>
        <w:ind w:left="749"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documentation and records are maintained by SENDCO (Special Education Needs and Disabilities CoOrdinator) and are confidential to the parent/carers and to those members of staff associated with the child concerned. </w:t>
      </w:r>
    </w:p>
    <w:p w14:paraId="1B5C1962" w14:textId="77777777" w:rsidR="00BE612A" w:rsidRDefault="00BE612A">
      <w:pPr>
        <w:spacing w:after="0" w:line="241" w:lineRule="auto"/>
        <w:ind w:left="749" w:right="111"/>
        <w:jc w:val="both"/>
        <w:rPr>
          <w:sz w:val="24"/>
          <w:szCs w:val="24"/>
        </w:rPr>
      </w:pPr>
    </w:p>
    <w:p w14:paraId="37468411" w14:textId="77777777" w:rsidR="00BE612A" w:rsidRDefault="00EE46E4">
      <w:pPr>
        <w:numPr>
          <w:ilvl w:val="0"/>
          <w:numId w:val="3"/>
        </w:numPr>
        <w:spacing w:after="0"/>
        <w:ind w:hanging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Partnership with Parent/carers</w:t>
      </w:r>
      <w:r>
        <w:rPr>
          <w:sz w:val="24"/>
          <w:szCs w:val="24"/>
        </w:rPr>
        <w:t xml:space="preserve"> </w:t>
      </w:r>
    </w:p>
    <w:p w14:paraId="2745543F" w14:textId="77777777" w:rsidR="00BE612A" w:rsidRDefault="00EE46E4">
      <w:pPr>
        <w:spacing w:after="0"/>
        <w:ind w:left="2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BDC716" w14:textId="77777777" w:rsidR="00BE612A" w:rsidRDefault="00EE46E4">
      <w:pPr>
        <w:spacing w:after="0" w:line="241" w:lineRule="auto"/>
        <w:ind w:left="7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aim to work closely with parent/carers of EAL pupils and ensure that they are encouraged to become involved in school activities. </w:t>
      </w:r>
    </w:p>
    <w:p w14:paraId="708B546E" w14:textId="77777777" w:rsidR="00BE612A" w:rsidRDefault="00EE46E4">
      <w:pPr>
        <w:spacing w:after="14"/>
        <w:ind w:left="74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C32FE11" w14:textId="77777777" w:rsidR="00BE612A" w:rsidRDefault="00EE46E4">
      <w:pPr>
        <w:spacing w:after="0" w:line="239" w:lineRule="auto"/>
        <w:ind w:left="749"/>
        <w:rPr>
          <w:sz w:val="24"/>
          <w:szCs w:val="24"/>
        </w:rPr>
      </w:pPr>
      <w:r>
        <w:rPr>
          <w:sz w:val="24"/>
          <w:szCs w:val="24"/>
        </w:rPr>
        <w:t xml:space="preserve">Parent/carers will be informed of their child’s progress regularly and will be invited into school to discuss any concerns. </w:t>
      </w:r>
    </w:p>
    <w:p w14:paraId="3B49A0A0" w14:textId="77777777" w:rsidR="00BE612A" w:rsidRDefault="00BE612A">
      <w:pPr>
        <w:spacing w:after="0" w:line="239" w:lineRule="auto"/>
        <w:ind w:left="749"/>
        <w:rPr>
          <w:sz w:val="24"/>
          <w:szCs w:val="24"/>
        </w:rPr>
      </w:pPr>
    </w:p>
    <w:p w14:paraId="12A3FAC9" w14:textId="77777777" w:rsidR="00BE612A" w:rsidRDefault="00EE46E4">
      <w:pPr>
        <w:spacing w:after="0"/>
        <w:ind w:left="29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Procedure</w:t>
      </w:r>
      <w:r>
        <w:rPr>
          <w:b/>
          <w:sz w:val="24"/>
          <w:szCs w:val="24"/>
        </w:rPr>
        <w:t xml:space="preserve"> </w:t>
      </w:r>
    </w:p>
    <w:p w14:paraId="37D8B0A2" w14:textId="77777777" w:rsidR="00BE612A" w:rsidRDefault="00EE46E4">
      <w:pPr>
        <w:spacing w:after="0"/>
        <w:ind w:left="2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FD18DC" w14:textId="77777777" w:rsidR="00BE612A" w:rsidRDefault="00EE46E4">
      <w:pPr>
        <w:spacing w:after="0"/>
        <w:ind w:left="29"/>
        <w:rPr>
          <w:sz w:val="24"/>
          <w:szCs w:val="24"/>
        </w:rPr>
      </w:pPr>
      <w:r>
        <w:rPr>
          <w:sz w:val="24"/>
          <w:szCs w:val="24"/>
        </w:rPr>
        <w:t xml:space="preserve">Information will be gathered about: </w:t>
      </w:r>
    </w:p>
    <w:p w14:paraId="1EAF79E1" w14:textId="77777777" w:rsidR="00BE612A" w:rsidRDefault="00EE46E4">
      <w:pPr>
        <w:spacing w:after="30"/>
        <w:ind w:left="2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CE36AEE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pupil’s linguistic background and competence in other languages. </w:t>
      </w:r>
    </w:p>
    <w:p w14:paraId="4B89FD29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pupil’s previous educational and schooling activities and where appropriate the family’s biographical background. </w:t>
      </w:r>
    </w:p>
    <w:p w14:paraId="07C1D96D" w14:textId="77777777" w:rsidR="00BE612A" w:rsidRDefault="00BE612A">
      <w:pPr>
        <w:spacing w:after="0"/>
        <w:ind w:left="1469"/>
        <w:jc w:val="both"/>
        <w:rPr>
          <w:sz w:val="24"/>
          <w:szCs w:val="24"/>
        </w:rPr>
      </w:pPr>
    </w:p>
    <w:p w14:paraId="32BEE1AC" w14:textId="77777777" w:rsidR="00BE612A" w:rsidRDefault="00EE46E4">
      <w:pPr>
        <w:spacing w:after="0"/>
        <w:ind w:left="29"/>
        <w:rPr>
          <w:sz w:val="24"/>
          <w:szCs w:val="24"/>
        </w:rPr>
        <w:sectPr w:rsidR="00BE612A">
          <w:pgSz w:w="11906" w:h="16838"/>
          <w:pgMar w:top="1985" w:right="1440" w:bottom="1985" w:left="851" w:header="720" w:footer="720" w:gutter="0"/>
          <w:cols w:space="720"/>
        </w:sectPr>
      </w:pPr>
      <w:r>
        <w:rPr>
          <w:sz w:val="24"/>
          <w:szCs w:val="24"/>
        </w:rPr>
        <w:t xml:space="preserve"> </w:t>
      </w:r>
    </w:p>
    <w:p w14:paraId="5FE44A5D" w14:textId="77777777" w:rsidR="00BE612A" w:rsidRDefault="00BE612A">
      <w:pPr>
        <w:spacing w:after="0"/>
        <w:ind w:left="29"/>
        <w:rPr>
          <w:b/>
          <w:sz w:val="24"/>
          <w:szCs w:val="24"/>
          <w:u w:val="single"/>
        </w:rPr>
      </w:pPr>
    </w:p>
    <w:p w14:paraId="2B89A2EC" w14:textId="77777777" w:rsidR="00BE612A" w:rsidRDefault="00EE46E4">
      <w:pPr>
        <w:spacing w:after="0"/>
        <w:ind w:left="29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Strategies to ensure access to the Curriculum</w:t>
      </w:r>
      <w:r>
        <w:rPr>
          <w:b/>
          <w:sz w:val="24"/>
          <w:szCs w:val="24"/>
        </w:rPr>
        <w:t xml:space="preserve"> </w:t>
      </w:r>
    </w:p>
    <w:p w14:paraId="5A3C0C2D" w14:textId="77777777" w:rsidR="00BE612A" w:rsidRDefault="00EE46E4">
      <w:pPr>
        <w:spacing w:after="0"/>
        <w:ind w:left="2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CAC0F63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Referral to external agencies, if necessary. </w:t>
      </w:r>
    </w:p>
    <w:p w14:paraId="7FD71829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Initial direct teaching to aid acquisition of English. </w:t>
      </w:r>
    </w:p>
    <w:p w14:paraId="79C6DCDE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Use of bi-lingual resources, e.g., dictionaries, on-line support, Key Word lists. </w:t>
      </w:r>
    </w:p>
    <w:p w14:paraId="5D143A24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Collaborative group work and peer support. </w:t>
      </w:r>
    </w:p>
    <w:p w14:paraId="6C075CE7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Enhanced opportunities for speaking and listening. </w:t>
      </w:r>
    </w:p>
    <w:p w14:paraId="71840459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In-class support (if funding available). </w:t>
      </w:r>
    </w:p>
    <w:p w14:paraId="70A7C30A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Additional visual support, e.g., posters, non-verbal clues. </w:t>
      </w:r>
    </w:p>
    <w:p w14:paraId="6EF24872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use of writing frames. </w:t>
      </w:r>
    </w:p>
    <w:p w14:paraId="5FD23A51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Regular feedback from staff. </w:t>
      </w:r>
    </w:p>
    <w:p w14:paraId="1F142DD6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Access for teaching staff to ICT support materials. </w:t>
      </w:r>
    </w:p>
    <w:p w14:paraId="642F409C" w14:textId="77777777" w:rsidR="00BE612A" w:rsidRDefault="00EE46E4">
      <w:pPr>
        <w:spacing w:after="0"/>
        <w:ind w:left="29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3CE80A9" w14:textId="77777777" w:rsidR="00BE612A" w:rsidRDefault="00EE46E4">
      <w:pPr>
        <w:spacing w:after="0"/>
        <w:ind w:left="29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Monitoring</w:t>
      </w:r>
      <w:r>
        <w:rPr>
          <w:b/>
          <w:sz w:val="24"/>
          <w:szCs w:val="24"/>
        </w:rPr>
        <w:t xml:space="preserve"> </w:t>
      </w:r>
    </w:p>
    <w:p w14:paraId="242A7AA9" w14:textId="77777777" w:rsidR="00BE612A" w:rsidRDefault="00EE46E4">
      <w:pPr>
        <w:spacing w:after="11"/>
        <w:ind w:left="2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B05FC4" w14:textId="77777777" w:rsidR="00BE612A" w:rsidRDefault="00EE46E4">
      <w:pPr>
        <w:numPr>
          <w:ilvl w:val="0"/>
          <w:numId w:val="2"/>
        </w:numPr>
        <w:spacing w:after="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Pupil’s attainment in curriculum areas to be monitored using: </w:t>
      </w:r>
    </w:p>
    <w:p w14:paraId="6556A8C9" w14:textId="77777777" w:rsidR="00BE612A" w:rsidRDefault="00EE46E4">
      <w:pPr>
        <w:numPr>
          <w:ilvl w:val="0"/>
          <w:numId w:val="1"/>
        </w:numPr>
        <w:spacing w:after="0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Half termly student profiles</w:t>
      </w:r>
    </w:p>
    <w:p w14:paraId="489604E8" w14:textId="77777777" w:rsidR="00BE612A" w:rsidRDefault="00EE46E4">
      <w:pPr>
        <w:numPr>
          <w:ilvl w:val="0"/>
          <w:numId w:val="1"/>
        </w:numPr>
        <w:spacing w:after="0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Discussion with subject staff. </w:t>
      </w:r>
    </w:p>
    <w:p w14:paraId="3E47029C" w14:textId="77777777" w:rsidR="00BE612A" w:rsidRDefault="00EE46E4">
      <w:pPr>
        <w:numPr>
          <w:ilvl w:val="0"/>
          <w:numId w:val="1"/>
        </w:numPr>
        <w:spacing w:after="0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12 weekly</w:t>
      </w:r>
      <w:r>
        <w:rPr>
          <w:sz w:val="24"/>
          <w:szCs w:val="24"/>
        </w:rPr>
        <w:t xml:space="preserve"> School Report. </w:t>
      </w:r>
    </w:p>
    <w:p w14:paraId="453BFBB4" w14:textId="77777777" w:rsidR="00BE612A" w:rsidRDefault="00BE612A">
      <w:pPr>
        <w:spacing w:after="0"/>
        <w:ind w:left="312" w:firstLine="60"/>
        <w:rPr>
          <w:sz w:val="24"/>
          <w:szCs w:val="24"/>
        </w:rPr>
      </w:pPr>
    </w:p>
    <w:p w14:paraId="29340AD9" w14:textId="77777777" w:rsidR="00BE612A" w:rsidRDefault="00EE46E4">
      <w:pPr>
        <w:spacing w:after="0"/>
        <w:ind w:left="29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Funding</w:t>
      </w:r>
      <w:r>
        <w:rPr>
          <w:b/>
          <w:sz w:val="24"/>
          <w:szCs w:val="24"/>
        </w:rPr>
        <w:t xml:space="preserve"> </w:t>
      </w:r>
    </w:p>
    <w:p w14:paraId="4C90F43C" w14:textId="77777777" w:rsidR="00BE612A" w:rsidRDefault="00EE46E4">
      <w:pPr>
        <w:spacing w:after="0"/>
        <w:ind w:left="2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F66D9F" w14:textId="77777777" w:rsidR="00BE612A" w:rsidRDefault="00EE46E4">
      <w:pPr>
        <w:spacing w:after="0" w:line="241" w:lineRule="auto"/>
        <w:ind w:left="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receive no funding at present from the Local Authority. </w:t>
      </w:r>
      <w:r>
        <w:rPr>
          <w:sz w:val="24"/>
          <w:szCs w:val="24"/>
        </w:rPr>
        <w:t xml:space="preserve"> MEAS </w:t>
      </w:r>
      <w:r>
        <w:rPr>
          <w:sz w:val="24"/>
          <w:szCs w:val="24"/>
        </w:rPr>
        <w:t xml:space="preserve">are engaged by the school. This service provides direct teaching for EAL pupils, to help build conversation fluency and sentence structure. </w:t>
      </w:r>
    </w:p>
    <w:p w14:paraId="5BD86612" w14:textId="77777777" w:rsidR="00BE612A" w:rsidRDefault="00EE46E4">
      <w:pPr>
        <w:spacing w:after="0"/>
        <w:ind w:left="2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7D09D61" w14:textId="77777777" w:rsidR="00BE612A" w:rsidRDefault="00EE46E4">
      <w:pPr>
        <w:spacing w:after="0"/>
        <w:ind w:left="29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Resources</w:t>
      </w:r>
      <w:r>
        <w:rPr>
          <w:b/>
          <w:sz w:val="24"/>
          <w:szCs w:val="24"/>
        </w:rPr>
        <w:t xml:space="preserve"> </w:t>
      </w:r>
    </w:p>
    <w:p w14:paraId="393247BD" w14:textId="77777777" w:rsidR="00BE612A" w:rsidRDefault="00EE46E4">
      <w:pPr>
        <w:spacing w:after="16"/>
        <w:ind w:left="2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F6EBA9" w14:textId="77777777" w:rsidR="00BE612A" w:rsidRDefault="00EE46E4">
      <w:pPr>
        <w:spacing w:after="0" w:line="241" w:lineRule="auto"/>
        <w:ind w:left="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range of resources are used to support a pupil’s linguistic development.  These include games, differentiated work sheets, keyword lists, bi-lingual dictionaries and computer software. </w:t>
      </w:r>
    </w:p>
    <w:sectPr w:rsidR="00BE612A">
      <w:pgSz w:w="11906" w:h="16838"/>
      <w:pgMar w:top="1985" w:right="1440" w:bottom="198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D7B37" w14:textId="77777777" w:rsidR="00EE46E4" w:rsidRDefault="00EE46E4">
      <w:pPr>
        <w:spacing w:after="0" w:line="240" w:lineRule="auto"/>
      </w:pPr>
      <w:r>
        <w:separator/>
      </w:r>
    </w:p>
  </w:endnote>
  <w:endnote w:type="continuationSeparator" w:id="0">
    <w:p w14:paraId="47A6E812" w14:textId="77777777" w:rsidR="00EE46E4" w:rsidRDefault="00EE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05A7" w14:textId="77777777" w:rsidR="00EE46E4" w:rsidRDefault="00EE46E4">
      <w:pPr>
        <w:spacing w:after="0" w:line="240" w:lineRule="auto"/>
      </w:pPr>
      <w:r>
        <w:separator/>
      </w:r>
    </w:p>
  </w:footnote>
  <w:footnote w:type="continuationSeparator" w:id="0">
    <w:p w14:paraId="3843F1E6" w14:textId="77777777" w:rsidR="00EE46E4" w:rsidRDefault="00EE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A246" w14:textId="77777777" w:rsidR="00BE612A" w:rsidRDefault="00EE46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AFD94C" wp14:editId="560AB5D0">
          <wp:simplePos x="0" y="0"/>
          <wp:positionH relativeFrom="column">
            <wp:posOffset>-570865</wp:posOffset>
          </wp:positionH>
          <wp:positionV relativeFrom="paragraph">
            <wp:posOffset>-600075</wp:posOffset>
          </wp:positionV>
          <wp:extent cx="7747200" cy="10821600"/>
          <wp:effectExtent l="0" t="0" r="0" b="0"/>
          <wp:wrapNone/>
          <wp:docPr id="1497724741" name="image1.jpg" descr="A white background with black dot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white background with black dot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7200" cy="1082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74BF"/>
    <w:multiLevelType w:val="multilevel"/>
    <w:tmpl w:val="3856A9EA"/>
    <w:lvl w:ilvl="0">
      <w:start w:val="1"/>
      <w:numFmt w:val="bullet"/>
      <w:lvlText w:val="-"/>
      <w:lvlJc w:val="left"/>
      <w:pPr>
        <w:ind w:left="1469" w:hanging="1469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27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60" w:hanging="30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780" w:hanging="37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500" w:hanging="45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220" w:hanging="52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40" w:hanging="59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660" w:hanging="66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80" w:hanging="73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537752DD"/>
    <w:multiLevelType w:val="multilevel"/>
    <w:tmpl w:val="63E0FAAA"/>
    <w:lvl w:ilvl="0">
      <w:start w:val="1"/>
      <w:numFmt w:val="bullet"/>
      <w:lvlText w:val="•"/>
      <w:lvlJc w:val="left"/>
      <w:pPr>
        <w:ind w:left="1469" w:hanging="146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27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60" w:hanging="30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780" w:hanging="37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500" w:hanging="45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220" w:hanging="52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40" w:hanging="59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660" w:hanging="66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80" w:hanging="73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5570651F"/>
    <w:multiLevelType w:val="multilevel"/>
    <w:tmpl w:val="4B267E00"/>
    <w:lvl w:ilvl="0">
      <w:start w:val="1"/>
      <w:numFmt w:val="lowerLetter"/>
      <w:lvlText w:val="%1)"/>
      <w:lvlJc w:val="left"/>
      <w:pPr>
        <w:ind w:left="749" w:hanging="74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829" w:hanging="182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700" w:hanging="27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20" w:hanging="34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140" w:hanging="41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60" w:hanging="48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80" w:hanging="55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300" w:hanging="63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020" w:hanging="70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227229751">
    <w:abstractNumId w:val="0"/>
  </w:num>
  <w:num w:numId="2" w16cid:durableId="1495877355">
    <w:abstractNumId w:val="1"/>
  </w:num>
  <w:num w:numId="3" w16cid:durableId="115147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2A"/>
    <w:rsid w:val="00BE612A"/>
    <w:rsid w:val="00E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06A5"/>
  <w15:docId w15:val="{0125094B-104C-4082-9A75-FDAA258B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rsid w:val="003A22C3"/>
    <w:pPr>
      <w:keepNext/>
      <w:keepLines/>
      <w:spacing w:after="0"/>
      <w:ind w:left="1245" w:right="1180" w:hanging="10"/>
      <w:jc w:val="center"/>
      <w:outlineLvl w:val="0"/>
    </w:pPr>
    <w:rPr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3A22C3"/>
    <w:pPr>
      <w:keepNext/>
      <w:keepLines/>
      <w:spacing w:after="0"/>
      <w:ind w:left="10" w:hanging="10"/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C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A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C3"/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3A22C3"/>
    <w:rPr>
      <w:rFonts w:ascii="Calibri" w:eastAsia="Calibri" w:hAnsi="Calibri" w:cs="Calibri"/>
      <w:b/>
      <w:color w:val="000000"/>
      <w:kern w:val="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22C3"/>
    <w:rPr>
      <w:rFonts w:ascii="Calibri" w:eastAsia="Calibri" w:hAnsi="Calibri" w:cs="Calibri"/>
      <w:b/>
      <w:color w:val="000000"/>
      <w:kern w:val="0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2" w:type="dxa"/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kb0QE50/YD/344Q+NT3CRevDKg==">CgMxLjA4AHIhMWh3cFFmQ2NOOEtnWUhHd3diMHgzSENDTHR4bENLbVYt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Greenbank High School</dc:creator>
  <cp:lastModifiedBy>16019</cp:lastModifiedBy>
  <cp:revision>2</cp:revision>
  <dcterms:created xsi:type="dcterms:W3CDTF">2023-11-03T14:59:00Z</dcterms:created>
  <dcterms:modified xsi:type="dcterms:W3CDTF">2023-11-06T09:35:00Z</dcterms:modified>
</cp:coreProperties>
</file>